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30" w:rsidRDefault="00534955">
      <w:pPr>
        <w:spacing w:line="360" w:lineRule="auto"/>
        <w:ind w:left="-284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="宋体" w:hAnsi="宋体" w:hint="eastAsia"/>
          <w:sz w:val="30"/>
          <w:szCs w:val="30"/>
        </w:rPr>
        <w:t>设备维修方案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一</w:t>
      </w:r>
      <w:r>
        <w:rPr>
          <w:rFonts w:asciiTheme="majorEastAsia" w:eastAsiaTheme="majorEastAsia" w:hAnsiTheme="majorEastAsia"/>
          <w:b/>
          <w:szCs w:val="21"/>
        </w:rPr>
        <w:t>、基本信息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F3630">
        <w:trPr>
          <w:trHeight w:val="567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F3630" w:rsidRDefault="0053495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物料代码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630" w:rsidRDefault="00CF36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1" w:type="dxa"/>
            <w:shd w:val="clear" w:color="auto" w:fill="BFBFBF"/>
            <w:vAlign w:val="center"/>
          </w:tcPr>
          <w:p w:rsidR="00CF3630" w:rsidRDefault="0053495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设备工装描述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F3630" w:rsidRDefault="00CF36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3630">
        <w:trPr>
          <w:trHeight w:val="567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F3630" w:rsidRDefault="0053495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设备工装序列号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630" w:rsidRDefault="00CF36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1" w:type="dxa"/>
            <w:shd w:val="clear" w:color="auto" w:fill="BFBFBF"/>
            <w:vAlign w:val="center"/>
          </w:tcPr>
          <w:p w:rsidR="00CF3630" w:rsidRDefault="0053495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数量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F3630" w:rsidRDefault="00CF36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3630">
        <w:trPr>
          <w:trHeight w:val="567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F3630" w:rsidRDefault="0053495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实物地点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630" w:rsidRDefault="00B32B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广东以色列理工学院（北校区）</w:t>
            </w:r>
          </w:p>
        </w:tc>
      </w:tr>
    </w:tbl>
    <w:p w:rsidR="00CF3630" w:rsidRDefault="00CF3630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CF3630" w:rsidRDefault="00534955">
      <w:pPr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二、维修方案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（一）故障描述：</w:t>
      </w:r>
    </w:p>
    <w:p w:rsidR="00B32B1A" w:rsidRDefault="00B32B1A">
      <w:pPr>
        <w:spacing w:line="360" w:lineRule="auto"/>
        <w:ind w:left="-284"/>
        <w:rPr>
          <w:szCs w:val="21"/>
        </w:rPr>
      </w:pP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三、维修服务内容、施工步骤、维修周期</w:t>
      </w:r>
    </w:p>
    <w:p w:rsidR="00CF3630" w:rsidRDefault="00534955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服务内容</w:t>
      </w:r>
      <w:r>
        <w:rPr>
          <w:rFonts w:asciiTheme="majorEastAsia" w:eastAsiaTheme="majorEastAsia" w:hAnsiTheme="majorEastAsia" w:hint="eastAsia"/>
          <w:b/>
          <w:szCs w:val="21"/>
        </w:rPr>
        <w:t>：</w:t>
      </w:r>
    </w:p>
    <w:p w:rsidR="00B32B1A" w:rsidRDefault="00B32B1A">
      <w:pPr>
        <w:spacing w:line="360" w:lineRule="auto"/>
        <w:ind w:left="-284"/>
        <w:rPr>
          <w:rFonts w:asciiTheme="minorHAnsi" w:eastAsiaTheme="minorEastAsia"/>
          <w:szCs w:val="21"/>
        </w:rPr>
      </w:pP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施工步骤： </w:t>
      </w:r>
    </w:p>
    <w:p w:rsidR="00CF3630" w:rsidRDefault="00534955">
      <w:pPr>
        <w:adjustRightInd w:val="0"/>
        <w:snapToGrid w:val="0"/>
        <w:spacing w:line="360" w:lineRule="auto"/>
        <w:outlineLvl w:val="0"/>
        <w:rPr>
          <w:rFonts w:asciiTheme="minorHAnsi"/>
          <w:b/>
          <w:bCs/>
          <w:szCs w:val="21"/>
        </w:rPr>
      </w:pPr>
      <w:bookmarkStart w:id="1" w:name="_Toc4927_WPSOffice_Level1"/>
      <w:bookmarkStart w:id="2" w:name="_Toc6580_WPSOffice_Level1"/>
      <w:bookmarkStart w:id="3" w:name="_Toc892_WPSOffice_Level1"/>
      <w:r>
        <w:rPr>
          <w:rFonts w:asciiTheme="minorHAnsi" w:hint="eastAsia"/>
          <w:b/>
          <w:bCs/>
          <w:szCs w:val="21"/>
        </w:rPr>
        <w:t>2</w:t>
      </w:r>
      <w:r>
        <w:rPr>
          <w:rFonts w:asciiTheme="minorHAnsi"/>
          <w:b/>
          <w:bCs/>
          <w:szCs w:val="21"/>
        </w:rPr>
        <w:t>、</w:t>
      </w:r>
      <w:r>
        <w:rPr>
          <w:rFonts w:asciiTheme="minorHAnsi" w:hint="eastAsia"/>
          <w:b/>
          <w:bCs/>
          <w:szCs w:val="21"/>
        </w:rPr>
        <w:t>更换</w:t>
      </w:r>
      <w:r>
        <w:rPr>
          <w:rFonts w:asciiTheme="minorHAnsi"/>
          <w:b/>
          <w:bCs/>
          <w:szCs w:val="21"/>
        </w:rPr>
        <w:t>方法及技术措施</w:t>
      </w:r>
      <w:bookmarkEnd w:id="1"/>
      <w:bookmarkEnd w:id="2"/>
      <w:bookmarkEnd w:id="3"/>
    </w:p>
    <w:p w:rsidR="00CF3630" w:rsidRDefault="00534955">
      <w:pPr>
        <w:adjustRightInd w:val="0"/>
        <w:snapToGrid w:val="0"/>
        <w:spacing w:line="360" w:lineRule="auto"/>
        <w:outlineLvl w:val="0"/>
        <w:rPr>
          <w:rFonts w:asciiTheme="minorHAnsi" w:eastAsiaTheme="minorEastAsia"/>
          <w:szCs w:val="21"/>
        </w:rPr>
      </w:pPr>
      <w:bookmarkStart w:id="4" w:name="_Toc26546_WPSOffice_Level2"/>
      <w:bookmarkStart w:id="5" w:name="_Toc13399_WPSOffice_Level2"/>
      <w:bookmarkStart w:id="6" w:name="_Toc15568_WPSOffice_Level2"/>
      <w:bookmarkStart w:id="7" w:name="_Toc12874_WPSOffice_Level3"/>
      <w:bookmarkStart w:id="8" w:name="_Toc15889_WPSOffice_Level3"/>
      <w:bookmarkStart w:id="9" w:name="_Toc23185_WPSOffice_Level3"/>
      <w:r>
        <w:rPr>
          <w:rFonts w:asciiTheme="minorHAnsi" w:hint="eastAsia"/>
          <w:szCs w:val="21"/>
        </w:rPr>
        <w:t>2</w:t>
      </w:r>
      <w:r>
        <w:rPr>
          <w:rFonts w:asciiTheme="minorHAnsi"/>
          <w:szCs w:val="21"/>
        </w:rPr>
        <w:t>.1</w:t>
      </w:r>
      <w:r>
        <w:rPr>
          <w:rFonts w:asciiTheme="minorHAnsi"/>
          <w:szCs w:val="21"/>
        </w:rPr>
        <w:t>、施工准备：</w:t>
      </w:r>
      <w:r>
        <w:rPr>
          <w:rFonts w:asciiTheme="minorHAnsi" w:hint="eastAsia"/>
          <w:szCs w:val="21"/>
        </w:rPr>
        <w:t>（工期</w:t>
      </w:r>
      <w:r>
        <w:rPr>
          <w:rFonts w:asciiTheme="minorHAnsi" w:hint="eastAsia"/>
          <w:szCs w:val="21"/>
        </w:rPr>
        <w:t>1</w:t>
      </w:r>
      <w:r>
        <w:rPr>
          <w:rFonts w:asciiTheme="minorHAnsi" w:hint="eastAsia"/>
          <w:szCs w:val="21"/>
        </w:rPr>
        <w:t>天）</w:t>
      </w:r>
      <w:bookmarkEnd w:id="4"/>
      <w:bookmarkEnd w:id="5"/>
      <w:bookmarkEnd w:id="6"/>
    </w:p>
    <w:p w:rsidR="00CF3630" w:rsidRDefault="00534955">
      <w:pPr>
        <w:spacing w:line="360" w:lineRule="auto"/>
        <w:rPr>
          <w:rFonts w:asciiTheme="minorHAnsi"/>
          <w:szCs w:val="21"/>
        </w:rPr>
      </w:pPr>
      <w:bookmarkStart w:id="10" w:name="_Toc20626_WPSOffice_Level3"/>
      <w:bookmarkEnd w:id="7"/>
      <w:bookmarkEnd w:id="8"/>
      <w:bookmarkEnd w:id="9"/>
      <w:r>
        <w:rPr>
          <w:rFonts w:asciiTheme="minorHAnsi" w:hint="eastAsia"/>
          <w:szCs w:val="21"/>
        </w:rPr>
        <w:t xml:space="preserve">a) </w:t>
      </w:r>
      <w:r>
        <w:rPr>
          <w:rFonts w:asciiTheme="minorHAnsi" w:hint="eastAsia"/>
          <w:szCs w:val="21"/>
        </w:rPr>
        <w:t>办理</w:t>
      </w:r>
      <w:r>
        <w:rPr>
          <w:rFonts w:asciiTheme="minorHAnsi" w:hAnsi="宋体" w:hint="eastAsia"/>
          <w:color w:val="000000"/>
          <w:szCs w:val="21"/>
        </w:rPr>
        <w:t>作业票等手续</w:t>
      </w:r>
      <w:r>
        <w:rPr>
          <w:rFonts w:asciiTheme="minorHAnsi" w:hint="eastAsia"/>
          <w:szCs w:val="21"/>
        </w:rPr>
        <w:t>。</w:t>
      </w:r>
      <w:bookmarkEnd w:id="10"/>
    </w:p>
    <w:p w:rsidR="00CF3630" w:rsidRDefault="00534955">
      <w:pPr>
        <w:spacing w:line="360" w:lineRule="auto"/>
        <w:rPr>
          <w:rFonts w:asciiTheme="minorHAnsi"/>
          <w:szCs w:val="21"/>
        </w:rPr>
      </w:pPr>
      <w:bookmarkStart w:id="11" w:name="_Toc22958_WPSOffice_Level3"/>
      <w:r>
        <w:rPr>
          <w:rFonts w:asciiTheme="minorHAnsi" w:hint="eastAsia"/>
          <w:szCs w:val="21"/>
        </w:rPr>
        <w:t xml:space="preserve">b) </w:t>
      </w:r>
      <w:r>
        <w:rPr>
          <w:rFonts w:asciiTheme="minorHAnsi" w:hint="eastAsia"/>
          <w:szCs w:val="21"/>
        </w:rPr>
        <w:t>现场协调使用甲方叉车等。</w:t>
      </w:r>
      <w:bookmarkEnd w:id="11"/>
    </w:p>
    <w:p w:rsidR="00CF3630" w:rsidRDefault="00534955">
      <w:pPr>
        <w:spacing w:line="360" w:lineRule="auto"/>
        <w:rPr>
          <w:rFonts w:asciiTheme="minorHAnsi"/>
          <w:szCs w:val="21"/>
        </w:rPr>
      </w:pPr>
      <w:bookmarkStart w:id="12" w:name="_Toc878_WPSOffice_Level3"/>
      <w:r>
        <w:rPr>
          <w:rFonts w:asciiTheme="minorHAnsi" w:hint="eastAsia"/>
          <w:szCs w:val="21"/>
        </w:rPr>
        <w:t>c</w:t>
      </w:r>
      <w:r>
        <w:rPr>
          <w:rFonts w:asciiTheme="minorHAnsi"/>
          <w:szCs w:val="21"/>
        </w:rPr>
        <w:t>)</w:t>
      </w:r>
      <w:r>
        <w:rPr>
          <w:rFonts w:asciiTheme="minorHAnsi" w:hint="eastAsia"/>
          <w:szCs w:val="21"/>
        </w:rPr>
        <w:t xml:space="preserve"> </w:t>
      </w:r>
      <w:r>
        <w:rPr>
          <w:rFonts w:asciiTheme="minorHAnsi" w:hint="eastAsia"/>
          <w:szCs w:val="21"/>
        </w:rPr>
        <w:t>将所用的工机具（如：叉车、扳手、千斤顶等</w:t>
      </w:r>
      <w:r>
        <w:rPr>
          <w:rFonts w:asciiTheme="minorHAnsi" w:hAnsi="宋体" w:hint="eastAsia"/>
          <w:color w:val="000000"/>
          <w:szCs w:val="21"/>
        </w:rPr>
        <w:t>专用工具</w:t>
      </w:r>
      <w:r>
        <w:rPr>
          <w:rFonts w:asciiTheme="minorHAnsi" w:hint="eastAsia"/>
          <w:szCs w:val="21"/>
        </w:rPr>
        <w:t>）准备好。</w:t>
      </w:r>
      <w:bookmarkEnd w:id="12"/>
    </w:p>
    <w:p w:rsidR="00CF3630" w:rsidRDefault="00534955">
      <w:pPr>
        <w:spacing w:line="360" w:lineRule="auto"/>
        <w:rPr>
          <w:rFonts w:asciiTheme="minorHAnsi"/>
          <w:szCs w:val="21"/>
        </w:rPr>
      </w:pPr>
      <w:bookmarkStart w:id="13" w:name="_Toc21158_WPSOffice_Level3"/>
      <w:r>
        <w:rPr>
          <w:rFonts w:asciiTheme="minorHAnsi" w:hint="eastAsia"/>
          <w:szCs w:val="21"/>
        </w:rPr>
        <w:t xml:space="preserve">d)  </w:t>
      </w:r>
      <w:r>
        <w:rPr>
          <w:rFonts w:asciiTheme="minorHAnsi" w:hAnsi="宋体" w:hint="eastAsia"/>
          <w:color w:val="000000"/>
          <w:szCs w:val="21"/>
        </w:rPr>
        <w:t>施工现场做好平整且围护。</w:t>
      </w:r>
      <w:r>
        <w:rPr>
          <w:rFonts w:asciiTheme="minorHAnsi" w:hint="eastAsia"/>
          <w:szCs w:val="21"/>
        </w:rPr>
        <w:t>施工现场拉好警戒线。</w:t>
      </w:r>
      <w:bookmarkEnd w:id="13"/>
    </w:p>
    <w:p w:rsidR="00CF3630" w:rsidRDefault="00534955">
      <w:pPr>
        <w:spacing w:line="360" w:lineRule="auto"/>
        <w:rPr>
          <w:rFonts w:asciiTheme="minorHAnsi"/>
          <w:szCs w:val="21"/>
        </w:rPr>
      </w:pPr>
      <w:r>
        <w:rPr>
          <w:rFonts w:asciiTheme="minorHAnsi" w:hint="eastAsia"/>
          <w:szCs w:val="21"/>
        </w:rPr>
        <w:t>e</w:t>
      </w:r>
      <w:r>
        <w:rPr>
          <w:rFonts w:asciiTheme="minorHAnsi" w:hint="eastAsia"/>
          <w:szCs w:val="21"/>
        </w:rPr>
        <w:t>）</w:t>
      </w:r>
      <w:r w:rsidR="00B32B1A">
        <w:rPr>
          <w:rFonts w:asciiTheme="minorHAnsi" w:hint="eastAsia"/>
          <w:szCs w:val="21"/>
        </w:rPr>
        <w:t>其他</w:t>
      </w:r>
    </w:p>
    <w:p w:rsidR="00B32B1A" w:rsidRDefault="00B32B1A">
      <w:pPr>
        <w:spacing w:line="360" w:lineRule="auto"/>
        <w:rPr>
          <w:rFonts w:asciiTheme="minorHAnsi"/>
          <w:szCs w:val="21"/>
        </w:rPr>
      </w:pPr>
    </w:p>
    <w:p w:rsidR="00CF3630" w:rsidRDefault="00534955">
      <w:pPr>
        <w:adjustRightInd w:val="0"/>
        <w:snapToGrid w:val="0"/>
        <w:spacing w:line="360" w:lineRule="auto"/>
        <w:outlineLvl w:val="0"/>
        <w:rPr>
          <w:rFonts w:asciiTheme="minorHAnsi" w:hAnsi="宋体" w:cs="宋体"/>
          <w:szCs w:val="21"/>
        </w:rPr>
      </w:pPr>
      <w:bookmarkStart w:id="14" w:name="_Toc17070_WPSOffice_Level2"/>
      <w:bookmarkStart w:id="15" w:name="_Toc16823_WPSOffice_Level2"/>
      <w:r>
        <w:rPr>
          <w:rFonts w:asciiTheme="minorHAnsi" w:hAnsi="宋体" w:cs="宋体" w:hint="eastAsia"/>
          <w:szCs w:val="21"/>
        </w:rPr>
        <w:t>2.2</w:t>
      </w:r>
      <w:r>
        <w:rPr>
          <w:rFonts w:asciiTheme="minorHAnsi" w:hAnsi="宋体" w:cs="宋体" w:hint="eastAsia"/>
          <w:szCs w:val="21"/>
        </w:rPr>
        <w:t>、</w:t>
      </w:r>
      <w:bookmarkEnd w:id="14"/>
      <w:bookmarkEnd w:id="15"/>
      <w:r w:rsidR="00B32B1A">
        <w:rPr>
          <w:rFonts w:asciiTheme="minorHAnsi" w:hAnsi="宋体" w:cs="宋体" w:hint="eastAsia"/>
          <w:szCs w:val="21"/>
        </w:rPr>
        <w:t>具体施工过程</w:t>
      </w:r>
    </w:p>
    <w:p w:rsidR="00B32B1A" w:rsidRDefault="00B32B1A">
      <w:pPr>
        <w:spacing w:line="360" w:lineRule="auto"/>
        <w:ind w:left="-284"/>
        <w:rPr>
          <w:rFonts w:asciiTheme="minorHAnsi" w:hAnsi="宋体" w:cs="宋体"/>
          <w:szCs w:val="21"/>
        </w:rPr>
      </w:pPr>
    </w:p>
    <w:p w:rsidR="00B32B1A" w:rsidRDefault="00B32B1A">
      <w:pPr>
        <w:spacing w:line="360" w:lineRule="auto"/>
        <w:ind w:left="-284"/>
        <w:rPr>
          <w:rFonts w:asciiTheme="minorHAnsi" w:hAnsi="宋体" w:cs="宋体"/>
          <w:szCs w:val="21"/>
        </w:rPr>
      </w:pPr>
    </w:p>
    <w:p w:rsidR="00B32B1A" w:rsidRDefault="00B32B1A">
      <w:pPr>
        <w:spacing w:line="360" w:lineRule="auto"/>
        <w:ind w:left="-284"/>
        <w:rPr>
          <w:rFonts w:asciiTheme="minorHAnsi" w:hAnsi="宋体" w:cs="宋体"/>
          <w:szCs w:val="21"/>
        </w:rPr>
      </w:pP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维修周期：</w:t>
      </w:r>
      <w:r>
        <w:rPr>
          <w:rFonts w:asciiTheme="majorEastAsia" w:eastAsiaTheme="majorEastAsia" w:hAnsiTheme="majorEastAsia"/>
          <w:b/>
          <w:szCs w:val="21"/>
        </w:rPr>
        <w:t xml:space="preserve"> </w:t>
      </w:r>
    </w:p>
    <w:p w:rsidR="00CF3630" w:rsidRDefault="00534955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办理开工手续（1天）</w:t>
      </w:r>
    </w:p>
    <w:p w:rsidR="00B32B1A" w:rsidRDefault="00B32B1A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Cs w:val="21"/>
        </w:rPr>
      </w:pPr>
    </w:p>
    <w:p w:rsidR="00CF3630" w:rsidRDefault="00534955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运行调试（1天）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（四）更换的部件、零件、易耗品等（请勾选）</w:t>
      </w:r>
    </w:p>
    <w:p w:rsidR="00CF3630" w:rsidRDefault="00534955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Segoe UI Emoji" w:hint="eastAsia"/>
          <w:szCs w:val="21"/>
        </w:rPr>
        <w:lastRenderedPageBreak/>
        <w:t>□ 无需更换部件、零件、易耗品等</w:t>
      </w:r>
    </w:p>
    <w:p w:rsidR="00CF3630" w:rsidRDefault="00B32B1A">
      <w:pPr>
        <w:spacing w:line="360" w:lineRule="auto"/>
        <w:rPr>
          <w:rFonts w:asciiTheme="majorEastAsia" w:eastAsiaTheme="majorEastAsia" w:hAnsiTheme="majorEastAsia" w:cs="Segoe UI Emoji"/>
          <w:szCs w:val="21"/>
        </w:rPr>
      </w:pPr>
      <w:r>
        <w:rPr>
          <w:rFonts w:asciiTheme="majorEastAsia" w:eastAsiaTheme="majorEastAsia" w:hAnsiTheme="majorEastAsia" w:cs="Segoe UI Emoji" w:hint="eastAsia"/>
          <w:szCs w:val="21"/>
        </w:rPr>
        <w:t xml:space="preserve">□ </w:t>
      </w:r>
      <w:r w:rsidR="00534955">
        <w:rPr>
          <w:rFonts w:asciiTheme="majorEastAsia" w:eastAsiaTheme="majorEastAsia" w:hAnsiTheme="majorEastAsia" w:cs="Segoe UI Emoji" w:hint="eastAsia"/>
          <w:szCs w:val="21"/>
        </w:rPr>
        <w:t>需更换部件、零件、易耗品等（需具体列明更换的明细）</w:t>
      </w:r>
    </w:p>
    <w:tbl>
      <w:tblPr>
        <w:tblStyle w:val="af"/>
        <w:tblpPr w:leftFromText="180" w:rightFromText="180" w:vertAnchor="text" w:horzAnchor="page" w:tblpX="1052" w:tblpY="331"/>
        <w:tblOverlap w:val="never"/>
        <w:tblW w:w="5031" w:type="pct"/>
        <w:tblLook w:val="04A0" w:firstRow="1" w:lastRow="0" w:firstColumn="1" w:lastColumn="0" w:noHBand="0" w:noVBand="1"/>
      </w:tblPr>
      <w:tblGrid>
        <w:gridCol w:w="772"/>
        <w:gridCol w:w="1289"/>
        <w:gridCol w:w="3044"/>
        <w:gridCol w:w="872"/>
        <w:gridCol w:w="647"/>
        <w:gridCol w:w="877"/>
        <w:gridCol w:w="1172"/>
        <w:gridCol w:w="843"/>
      </w:tblGrid>
      <w:tr w:rsidR="00CF3630">
        <w:trPr>
          <w:trHeight w:val="462"/>
        </w:trPr>
        <w:tc>
          <w:tcPr>
            <w:tcW w:w="405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676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597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型号规格</w:t>
            </w:r>
          </w:p>
        </w:tc>
        <w:tc>
          <w:tcPr>
            <w:tcW w:w="458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340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461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615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质保期(月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43" w:type="pct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CF3630">
        <w:trPr>
          <w:trHeight w:val="462"/>
        </w:trPr>
        <w:tc>
          <w:tcPr>
            <w:tcW w:w="405" w:type="pct"/>
            <w:vAlign w:val="center"/>
          </w:tcPr>
          <w:p w:rsidR="00CF3630" w:rsidRDefault="00CF3630">
            <w:pPr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CF3630" w:rsidRDefault="00CF3630"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597" w:type="pct"/>
            <w:vAlign w:val="center"/>
          </w:tcPr>
          <w:p w:rsidR="00CF3630" w:rsidRDefault="00CF3630"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CF3630" w:rsidRDefault="00CF3630"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CF3630" w:rsidRDefault="00CF3630"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CF3630" w:rsidRDefault="00CF3630"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615" w:type="pct"/>
          </w:tcPr>
          <w:p w:rsidR="00CF3630" w:rsidRDefault="00CF3630">
            <w:pPr>
              <w:pStyle w:val="TableParagraph"/>
              <w:ind w:right="112"/>
              <w:jc w:val="center"/>
              <w:rPr>
                <w:lang w:val="en-US"/>
              </w:rPr>
            </w:pPr>
          </w:p>
        </w:tc>
        <w:tc>
          <w:tcPr>
            <w:tcW w:w="443" w:type="pct"/>
          </w:tcPr>
          <w:p w:rsidR="00CF3630" w:rsidRDefault="00CF3630">
            <w:pPr>
              <w:pStyle w:val="TableParagraph"/>
              <w:ind w:left="108"/>
              <w:jc w:val="center"/>
            </w:pPr>
          </w:p>
        </w:tc>
      </w:tr>
    </w:tbl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（五）更换的部件、零件、易耗品处置</w:t>
      </w:r>
    </w:p>
    <w:p w:rsidR="00CF3630" w:rsidRDefault="00534955">
      <w:pPr>
        <w:spacing w:line="360" w:lineRule="auto"/>
        <w:ind w:left="-2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 未更换，不涉及</w:t>
      </w:r>
    </w:p>
    <w:p w:rsidR="00CF3630" w:rsidRDefault="00B32B1A">
      <w:pPr>
        <w:spacing w:line="360" w:lineRule="auto"/>
        <w:ind w:left="-284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cs="Segoe UI Emoji" w:hint="eastAsia"/>
          <w:szCs w:val="21"/>
        </w:rPr>
        <w:t>□</w:t>
      </w:r>
      <w:r w:rsidR="00534955">
        <w:rPr>
          <w:rFonts w:asciiTheme="minorEastAsia" w:eastAsiaTheme="minorEastAsia" w:hAnsiTheme="minorEastAsia" w:hint="eastAsia"/>
          <w:szCs w:val="21"/>
        </w:rPr>
        <w:t>由</w:t>
      </w:r>
      <w:r>
        <w:rPr>
          <w:rFonts w:asciiTheme="minorEastAsia" w:eastAsiaTheme="minorEastAsia" w:hAnsiTheme="minorEastAsia" w:hint="eastAsia"/>
          <w:szCs w:val="21"/>
        </w:rPr>
        <w:t>广东以色列理工学院校方</w:t>
      </w:r>
      <w:r w:rsidR="00534955">
        <w:rPr>
          <w:rFonts w:asciiTheme="minorEastAsia" w:eastAsiaTheme="minorEastAsia" w:hAnsiTheme="minorEastAsia" w:hint="eastAsia"/>
          <w:szCs w:val="21"/>
        </w:rPr>
        <w:t>自行处置</w:t>
      </w:r>
    </w:p>
    <w:p w:rsidR="00CF3630" w:rsidRDefault="00534955">
      <w:pPr>
        <w:spacing w:line="360" w:lineRule="auto"/>
        <w:ind w:left="-284"/>
        <w:rPr>
          <w:rFonts w:asciiTheme="minorEastAsia" w:eastAsiaTheme="minorEastAsia" w:hAnsiTheme="minorEastAsia"/>
          <w:szCs w:val="21"/>
        </w:rPr>
      </w:pPr>
      <w:r>
        <w:rPr>
          <w:rFonts w:ascii="Segoe UI Symbol" w:hAnsi="Segoe UI Symbol" w:cs="Segoe UI Symbol" w:hint="eastAsia"/>
          <w:szCs w:val="21"/>
        </w:rPr>
        <w:t>□</w:t>
      </w:r>
      <w:r>
        <w:rPr>
          <w:rFonts w:asciiTheme="minorEastAsia" w:eastAsiaTheme="minorEastAsia" w:hAnsiTheme="minorEastAsia" w:hint="eastAsia"/>
          <w:szCs w:val="21"/>
        </w:rPr>
        <w:t xml:space="preserve"> 由维修方在维修服务完成后收回并处置</w:t>
      </w:r>
    </w:p>
    <w:p w:rsidR="00CF3630" w:rsidRDefault="00534955">
      <w:pPr>
        <w:spacing w:line="360" w:lineRule="auto"/>
        <w:ind w:left="-2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□ </w:t>
      </w:r>
      <w:r w:rsidR="00B32B1A">
        <w:rPr>
          <w:rFonts w:asciiTheme="minorEastAsia" w:eastAsiaTheme="minorEastAsia" w:hAnsiTheme="minorEastAsia" w:hint="eastAsia"/>
          <w:szCs w:val="21"/>
        </w:rPr>
        <w:t>广东以色列理工学院校方</w:t>
      </w:r>
      <w:r>
        <w:rPr>
          <w:rFonts w:asciiTheme="minorEastAsia" w:eastAsiaTheme="minorEastAsia" w:hAnsiTheme="minorEastAsia" w:hint="eastAsia"/>
          <w:szCs w:val="21"/>
        </w:rPr>
        <w:t>和维修方各处置部分，各自处置的明细如下：</w:t>
      </w:r>
    </w:p>
    <w:p w:rsidR="00B32B1A" w:rsidRDefault="00B32B1A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</w:p>
    <w:p w:rsidR="00B32B1A" w:rsidRDefault="00B32B1A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（六）维修服务质保期</w:t>
      </w:r>
    </w:p>
    <w:p w:rsidR="00CF3630" w:rsidRDefault="00534955">
      <w:pPr>
        <w:spacing w:line="360" w:lineRule="auto"/>
        <w:ind w:left="-284" w:firstLineChars="200" w:firstLine="420"/>
        <w:rPr>
          <w:rFonts w:asciiTheme="majorEastAsia" w:eastAsiaTheme="majorEastAsia" w:hAnsiTheme="majorEastAsia" w:cs="Segoe UI Emoji"/>
          <w:szCs w:val="21"/>
        </w:rPr>
      </w:pPr>
      <w:r>
        <w:rPr>
          <w:rFonts w:asciiTheme="majorEastAsia" w:eastAsiaTheme="majorEastAsia" w:hAnsiTheme="majorEastAsia" w:cs="Segoe UI Emoji" w:hint="eastAsia"/>
          <w:szCs w:val="21"/>
        </w:rPr>
        <w:t>质保期从双方共同验收通过后计算。维修服务整体质保期</w:t>
      </w:r>
      <w:r w:rsidR="00B32B1A">
        <w:rPr>
          <w:rFonts w:asciiTheme="majorEastAsia" w:eastAsiaTheme="majorEastAsia" w:hAnsiTheme="majorEastAsia" w:cs="Segoe UI Emoji" w:hint="eastAsia"/>
          <w:szCs w:val="21"/>
        </w:rPr>
        <w:t xml:space="preserve"> </w:t>
      </w:r>
      <w:r w:rsidR="00B32B1A">
        <w:rPr>
          <w:rFonts w:asciiTheme="majorEastAsia" w:eastAsiaTheme="majorEastAsia" w:hAnsiTheme="majorEastAsia" w:cs="Segoe UI Emoji"/>
          <w:szCs w:val="21"/>
        </w:rPr>
        <w:t xml:space="preserve">   </w:t>
      </w:r>
      <w:proofErr w:type="gramStart"/>
      <w:r>
        <w:rPr>
          <w:rFonts w:asciiTheme="majorEastAsia" w:eastAsiaTheme="majorEastAsia" w:hAnsiTheme="majorEastAsia" w:cs="Segoe UI Emoji" w:hint="eastAsia"/>
          <w:szCs w:val="21"/>
        </w:rPr>
        <w:t>个</w:t>
      </w:r>
      <w:proofErr w:type="gramEnd"/>
      <w:r>
        <w:rPr>
          <w:rFonts w:asciiTheme="majorEastAsia" w:eastAsiaTheme="majorEastAsia" w:hAnsiTheme="majorEastAsia" w:cs="Segoe UI Emoji" w:hint="eastAsia"/>
          <w:szCs w:val="21"/>
        </w:rPr>
        <w:t>月；更换的部件、零件、易耗品等的质保期参见上表。</w:t>
      </w:r>
    </w:p>
    <w:p w:rsidR="00CF3630" w:rsidRDefault="00534955">
      <w:pPr>
        <w:numPr>
          <w:ilvl w:val="0"/>
          <w:numId w:val="2"/>
        </w:numPr>
        <w:spacing w:line="360" w:lineRule="auto"/>
        <w:ind w:left="-284"/>
        <w:rPr>
          <w:b/>
        </w:rPr>
      </w:pPr>
      <w:r>
        <w:rPr>
          <w:rFonts w:asciiTheme="majorEastAsia" w:eastAsiaTheme="majorEastAsia" w:hAnsiTheme="majorEastAsia" w:hint="eastAsia"/>
          <w:b/>
          <w:szCs w:val="21"/>
        </w:rPr>
        <w:t>维修过程的危险源、环境因素识别及控制措施</w:t>
      </w:r>
    </w:p>
    <w:p w:rsidR="00CF3630" w:rsidRDefault="00534955">
      <w:pPr>
        <w:numPr>
          <w:ilvl w:val="0"/>
          <w:numId w:val="3"/>
        </w:numPr>
        <w:spacing w:line="360" w:lineRule="auto"/>
        <w:rPr>
          <w:b/>
          <w:spacing w:val="-5"/>
        </w:rPr>
      </w:pPr>
      <w:r>
        <w:rPr>
          <w:rFonts w:hint="eastAsia"/>
          <w:b/>
          <w:spacing w:val="-5"/>
          <w:w w:val="95"/>
        </w:rPr>
        <w:t>物理打击</w:t>
      </w:r>
      <w:r>
        <w:rPr>
          <w:b/>
          <w:spacing w:val="-5"/>
          <w:w w:val="95"/>
        </w:rPr>
        <w:t>风险。安全控制措施：穿戴安全带、防滑鞋、安全帽、拉好现场施工区域警示标</w:t>
      </w:r>
      <w:r>
        <w:rPr>
          <w:b/>
          <w:spacing w:val="-5"/>
        </w:rPr>
        <w:t>识及警戒线。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（八）维修的验收规范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2432"/>
        <w:gridCol w:w="3793"/>
        <w:gridCol w:w="1510"/>
      </w:tblGrid>
      <w:tr w:rsidR="00CF3630">
        <w:trPr>
          <w:trHeight w:val="507"/>
          <w:jc w:val="center"/>
        </w:trPr>
        <w:tc>
          <w:tcPr>
            <w:tcW w:w="997" w:type="dxa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432" w:type="dxa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验收项目</w:t>
            </w:r>
          </w:p>
        </w:tc>
        <w:tc>
          <w:tcPr>
            <w:tcW w:w="3793" w:type="dxa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验收标准</w:t>
            </w:r>
          </w:p>
        </w:tc>
        <w:tc>
          <w:tcPr>
            <w:tcW w:w="1510" w:type="dxa"/>
          </w:tcPr>
          <w:p w:rsidR="00CF3630" w:rsidRDefault="005349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验收方法</w:t>
            </w:r>
          </w:p>
        </w:tc>
      </w:tr>
      <w:tr w:rsidR="00CF3630">
        <w:trPr>
          <w:trHeight w:val="662"/>
          <w:jc w:val="center"/>
        </w:trPr>
        <w:tc>
          <w:tcPr>
            <w:tcW w:w="997" w:type="dxa"/>
            <w:vAlign w:val="center"/>
          </w:tcPr>
          <w:p w:rsidR="00CF3630" w:rsidRDefault="00CF3630">
            <w:pPr>
              <w:pStyle w:val="TableParagraph"/>
              <w:spacing w:before="105"/>
              <w:ind w:left="108"/>
              <w:jc w:val="center"/>
              <w:rPr>
                <w:sz w:val="20"/>
              </w:rPr>
            </w:pPr>
          </w:p>
        </w:tc>
        <w:tc>
          <w:tcPr>
            <w:tcW w:w="2432" w:type="dxa"/>
            <w:vAlign w:val="center"/>
          </w:tcPr>
          <w:p w:rsidR="00CF3630" w:rsidRDefault="00CF3630">
            <w:pPr>
              <w:pStyle w:val="TableParagraph"/>
              <w:spacing w:before="98"/>
              <w:ind w:left="107"/>
              <w:jc w:val="center"/>
              <w:rPr>
                <w:lang w:val="en-US"/>
              </w:rPr>
            </w:pPr>
          </w:p>
        </w:tc>
        <w:tc>
          <w:tcPr>
            <w:tcW w:w="3793" w:type="dxa"/>
            <w:vAlign w:val="center"/>
          </w:tcPr>
          <w:p w:rsidR="00CF3630" w:rsidRDefault="00CF3630">
            <w:pPr>
              <w:pStyle w:val="TableParagraph"/>
              <w:spacing w:before="136" w:line="240" w:lineRule="atLeast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10" w:type="dxa"/>
            <w:vAlign w:val="center"/>
          </w:tcPr>
          <w:p w:rsidR="00CF3630" w:rsidRDefault="00CF3630">
            <w:pPr>
              <w:pStyle w:val="TableParagraph"/>
              <w:spacing w:before="105"/>
              <w:ind w:left="106"/>
              <w:jc w:val="center"/>
              <w:rPr>
                <w:sz w:val="20"/>
                <w:lang w:val="en-US"/>
              </w:rPr>
            </w:pPr>
          </w:p>
        </w:tc>
      </w:tr>
    </w:tbl>
    <w:p w:rsidR="00CF3630" w:rsidRDefault="00534955">
      <w:pPr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（九）维修报价</w:t>
      </w:r>
    </w:p>
    <w:p w:rsidR="00CF3630" w:rsidRDefault="00534955">
      <w:pPr>
        <w:spacing w:line="360" w:lineRule="auto"/>
        <w:ind w:firstLineChars="200" w:firstLine="420"/>
        <w:rPr>
          <w:rFonts w:asciiTheme="majorEastAsia" w:eastAsiaTheme="majorEastAsia" w:hAnsiTheme="majorEastAsia" w:cs="Segoe UI Emoji"/>
          <w:szCs w:val="21"/>
        </w:rPr>
      </w:pPr>
      <w:r>
        <w:rPr>
          <w:rFonts w:asciiTheme="majorEastAsia" w:eastAsiaTheme="majorEastAsia" w:hAnsiTheme="majorEastAsia" w:cs="Segoe UI Emoji" w:hint="eastAsia"/>
          <w:szCs w:val="21"/>
        </w:rPr>
        <w:t>另外提供至</w:t>
      </w:r>
      <w:r w:rsidR="00B32B1A">
        <w:rPr>
          <w:rFonts w:asciiTheme="minorEastAsia" w:eastAsiaTheme="minorEastAsia" w:hAnsiTheme="minorEastAsia" w:hint="eastAsia"/>
          <w:szCs w:val="21"/>
        </w:rPr>
        <w:t>广东以色列理工学院校方</w:t>
      </w:r>
      <w:r>
        <w:rPr>
          <w:rFonts w:asciiTheme="majorEastAsia" w:eastAsiaTheme="majorEastAsia" w:hAnsiTheme="majorEastAsia" w:cs="Segoe UI Emoji" w:hint="eastAsia"/>
          <w:szCs w:val="21"/>
        </w:rPr>
        <w:t>采购。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三、维修方案确认</w:t>
      </w:r>
    </w:p>
    <w:p w:rsidR="00CF3630" w:rsidRDefault="00534955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编制单位：</w:t>
      </w:r>
    </w:p>
    <w:tbl>
      <w:tblPr>
        <w:tblStyle w:val="af"/>
        <w:tblW w:w="0" w:type="auto"/>
        <w:tblInd w:w="8" w:type="dxa"/>
        <w:tblLook w:val="04A0" w:firstRow="1" w:lastRow="0" w:firstColumn="1" w:lastColumn="0" w:noHBand="0" w:noVBand="1"/>
      </w:tblPr>
      <w:tblGrid>
        <w:gridCol w:w="4156"/>
        <w:gridCol w:w="5293"/>
      </w:tblGrid>
      <w:tr w:rsidR="00CF3630">
        <w:tc>
          <w:tcPr>
            <w:tcW w:w="4436" w:type="dxa"/>
          </w:tcPr>
          <w:p w:rsidR="00CF3630" w:rsidRDefault="0053495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编制人/日期:</w:t>
            </w:r>
          </w:p>
        </w:tc>
        <w:tc>
          <w:tcPr>
            <w:tcW w:w="5660" w:type="dxa"/>
          </w:tcPr>
          <w:p w:rsidR="00CF3630" w:rsidRDefault="0053495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审核人/日期:</w:t>
            </w:r>
          </w:p>
        </w:tc>
      </w:tr>
      <w:tr w:rsidR="00CF3630">
        <w:tc>
          <w:tcPr>
            <w:tcW w:w="4436" w:type="dxa"/>
          </w:tcPr>
          <w:p w:rsidR="00CF3630" w:rsidRDefault="00CF3630">
            <w:pPr>
              <w:pStyle w:val="TableParagraph"/>
              <w:spacing w:before="100"/>
              <w:ind w:left="106"/>
              <w:rPr>
                <w:b/>
              </w:rPr>
            </w:pPr>
          </w:p>
        </w:tc>
        <w:tc>
          <w:tcPr>
            <w:tcW w:w="5660" w:type="dxa"/>
          </w:tcPr>
          <w:p w:rsidR="00CF3630" w:rsidRDefault="00CF3630">
            <w:pPr>
              <w:pStyle w:val="TableParagraph"/>
              <w:spacing w:before="100"/>
              <w:ind w:left="106"/>
              <w:rPr>
                <w:b/>
              </w:rPr>
            </w:pPr>
          </w:p>
        </w:tc>
      </w:tr>
    </w:tbl>
    <w:p w:rsidR="00CF3630" w:rsidRDefault="00CF3630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</w:p>
    <w:p w:rsidR="00CF3630" w:rsidRDefault="00B32B1A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  <w:r w:rsidRPr="00B32B1A">
        <w:rPr>
          <w:rFonts w:asciiTheme="minorEastAsia" w:eastAsiaTheme="minorEastAsia" w:hAnsiTheme="minorEastAsia" w:hint="eastAsia"/>
          <w:b/>
          <w:bCs/>
          <w:szCs w:val="21"/>
        </w:rPr>
        <w:t>广东以色列理工学院校方</w:t>
      </w:r>
      <w:r w:rsidR="00534955">
        <w:rPr>
          <w:rFonts w:asciiTheme="majorEastAsia" w:eastAsiaTheme="majorEastAsia" w:hAnsiTheme="majorEastAsia" w:hint="eastAsia"/>
          <w:b/>
          <w:szCs w:val="21"/>
        </w:rPr>
        <w:t>确认：</w:t>
      </w:r>
    </w:p>
    <w:tbl>
      <w:tblPr>
        <w:tblStyle w:val="af"/>
        <w:tblW w:w="0" w:type="auto"/>
        <w:tblInd w:w="8" w:type="dxa"/>
        <w:tblLook w:val="04A0" w:firstRow="1" w:lastRow="0" w:firstColumn="1" w:lastColumn="0" w:noHBand="0" w:noVBand="1"/>
      </w:tblPr>
      <w:tblGrid>
        <w:gridCol w:w="1724"/>
        <w:gridCol w:w="1879"/>
        <w:gridCol w:w="1712"/>
        <w:gridCol w:w="1795"/>
        <w:gridCol w:w="2339"/>
      </w:tblGrid>
      <w:tr w:rsidR="00CF3630">
        <w:trPr>
          <w:trHeight w:val="601"/>
        </w:trPr>
        <w:tc>
          <w:tcPr>
            <w:tcW w:w="1858" w:type="dxa"/>
          </w:tcPr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使用单位/部门</w:t>
            </w:r>
          </w:p>
        </w:tc>
        <w:tc>
          <w:tcPr>
            <w:tcW w:w="2008" w:type="dxa"/>
          </w:tcPr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设计选型部门</w:t>
            </w:r>
          </w:p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（适用于大修）</w:t>
            </w:r>
          </w:p>
        </w:tc>
        <w:tc>
          <w:tcPr>
            <w:tcW w:w="1823" w:type="dxa"/>
          </w:tcPr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安全环保部</w:t>
            </w:r>
          </w:p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（适用于大修）</w:t>
            </w:r>
          </w:p>
        </w:tc>
        <w:tc>
          <w:tcPr>
            <w:tcW w:w="1915" w:type="dxa"/>
          </w:tcPr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质量管理部</w:t>
            </w:r>
          </w:p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（适用于大修）</w:t>
            </w:r>
          </w:p>
        </w:tc>
        <w:tc>
          <w:tcPr>
            <w:tcW w:w="2515" w:type="dxa"/>
          </w:tcPr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工艺装备部</w:t>
            </w:r>
          </w:p>
          <w:p w:rsidR="00CF3630" w:rsidRDefault="0053495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（适用于大修）</w:t>
            </w:r>
          </w:p>
        </w:tc>
      </w:tr>
      <w:tr w:rsidR="00CF3630">
        <w:trPr>
          <w:trHeight w:val="680"/>
        </w:trPr>
        <w:tc>
          <w:tcPr>
            <w:tcW w:w="1858" w:type="dxa"/>
          </w:tcPr>
          <w:p w:rsidR="00CF3630" w:rsidRDefault="00CF3630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008" w:type="dxa"/>
          </w:tcPr>
          <w:p w:rsidR="00CF3630" w:rsidRDefault="00CF3630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23" w:type="dxa"/>
          </w:tcPr>
          <w:p w:rsidR="00CF3630" w:rsidRDefault="00CF3630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5" w:type="dxa"/>
          </w:tcPr>
          <w:p w:rsidR="00CF3630" w:rsidRDefault="00CF3630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15" w:type="dxa"/>
          </w:tcPr>
          <w:p w:rsidR="00CF3630" w:rsidRDefault="00CF3630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CF3630" w:rsidRDefault="00CF3630">
      <w:pPr>
        <w:spacing w:line="360" w:lineRule="auto"/>
        <w:ind w:left="-284"/>
        <w:rPr>
          <w:rFonts w:asciiTheme="majorEastAsia" w:eastAsiaTheme="majorEastAsia" w:hAnsiTheme="majorEastAsia"/>
          <w:b/>
          <w:szCs w:val="21"/>
        </w:rPr>
      </w:pPr>
    </w:p>
    <w:p w:rsidR="00CF3630" w:rsidRDefault="00CF3630">
      <w:pPr>
        <w:tabs>
          <w:tab w:val="left" w:pos="4095"/>
        </w:tabs>
        <w:rPr>
          <w:rFonts w:asciiTheme="majorEastAsia" w:eastAsiaTheme="majorEastAsia" w:hAnsiTheme="majorEastAsia"/>
          <w:szCs w:val="21"/>
        </w:rPr>
      </w:pPr>
    </w:p>
    <w:sectPr w:rsidR="00CF3630">
      <w:headerReference w:type="default" r:id="rId8"/>
      <w:footerReference w:type="default" r:id="rId9"/>
      <w:pgSz w:w="11906" w:h="16838"/>
      <w:pgMar w:top="1701" w:right="1021" w:bottom="851" w:left="1418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D7B" w:rsidRDefault="00E81D7B">
      <w:r>
        <w:separator/>
      </w:r>
    </w:p>
  </w:endnote>
  <w:endnote w:type="continuationSeparator" w:id="0">
    <w:p w:rsidR="00E81D7B" w:rsidRDefault="00E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06042"/>
    </w:sdtPr>
    <w:sdtEndPr/>
    <w:sdtContent>
      <w:sdt>
        <w:sdtPr>
          <w:id w:val="1728636285"/>
        </w:sdtPr>
        <w:sdtEndPr/>
        <w:sdtContent>
          <w:p w:rsidR="00CF3630" w:rsidRDefault="00534955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3630" w:rsidRDefault="00CF36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D7B" w:rsidRDefault="00E81D7B">
      <w:r>
        <w:separator/>
      </w:r>
    </w:p>
  </w:footnote>
  <w:footnote w:type="continuationSeparator" w:id="0">
    <w:p w:rsidR="00E81D7B" w:rsidRDefault="00E8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A2" w:rsidRDefault="003622A2" w:rsidP="003622A2">
    <w:pPr>
      <w:spacing w:line="360" w:lineRule="auto"/>
      <w:ind w:left="-284"/>
      <w:jc w:val="right"/>
      <w:rPr>
        <w:rFonts w:asciiTheme="majorEastAsia" w:eastAsiaTheme="majorEastAsia" w:hAnsiTheme="majorEastAsia"/>
        <w:sz w:val="18"/>
        <w:szCs w:val="18"/>
      </w:rPr>
    </w:pPr>
    <w:r w:rsidRPr="006B4DF7">
      <w:rPr>
        <w:rFonts w:asciiTheme="majorEastAsia" w:eastAsiaTheme="majorEastAsia" w:hAnsiTheme="majorEastAsi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76200</wp:posOffset>
          </wp:positionH>
          <wp:positionV relativeFrom="paragraph">
            <wp:posOffset>3810</wp:posOffset>
          </wp:positionV>
          <wp:extent cx="656894" cy="654050"/>
          <wp:effectExtent l="0" t="0" r="0" b="0"/>
          <wp:wrapNone/>
          <wp:docPr id="1" name="图片 1" descr="C:\Users\YONGSH~1.DU\AppData\Local\Temp\WeChat Files\c42be461d50698bb7ac1a96df6d74d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NGSH~1.DU\AppData\Local\Temp\WeChat Files\c42be461d50698bb7ac1a96df6d74d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94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22A2" w:rsidRDefault="003622A2" w:rsidP="003622A2">
    <w:pPr>
      <w:spacing w:line="360" w:lineRule="auto"/>
      <w:ind w:left="-284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文件编号</w:t>
    </w:r>
    <w:r>
      <w:rPr>
        <w:rFonts w:asciiTheme="majorEastAsia" w:eastAsiaTheme="majorEastAsia" w:hAnsiTheme="majorEastAsia"/>
        <w:sz w:val="18"/>
        <w:szCs w:val="18"/>
      </w:rPr>
      <w:t xml:space="preserve">  GTIIT/HVAC/2021</w:t>
    </w:r>
  </w:p>
  <w:p w:rsidR="003622A2" w:rsidRDefault="003622A2" w:rsidP="003622A2">
    <w:pPr>
      <w:spacing w:line="360" w:lineRule="auto"/>
      <w:ind w:left="-284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版本/日期</w:t>
    </w:r>
    <w:r>
      <w:rPr>
        <w:rFonts w:asciiTheme="majorEastAsia" w:eastAsiaTheme="majorEastAsia" w:hAnsiTheme="majorEastAsia" w:hint="eastAsia"/>
        <w:sz w:val="18"/>
        <w:szCs w:val="18"/>
      </w:rPr>
      <w:tab/>
    </w:r>
    <w:r>
      <w:rPr>
        <w:rFonts w:asciiTheme="majorEastAsia" w:eastAsiaTheme="majorEastAsia" w:hAnsiTheme="majorEastAsia"/>
        <w:sz w:val="18"/>
        <w:szCs w:val="18"/>
      </w:rPr>
      <w:t>2</w:t>
    </w:r>
    <w:r>
      <w:rPr>
        <w:rFonts w:asciiTheme="majorEastAsia" w:eastAsiaTheme="majorEastAsia" w:hAnsiTheme="majorEastAsia" w:hint="eastAsia"/>
        <w:sz w:val="18"/>
        <w:szCs w:val="18"/>
      </w:rPr>
      <w:t>/20</w:t>
    </w:r>
    <w:r>
      <w:rPr>
        <w:rFonts w:asciiTheme="majorEastAsia" w:eastAsiaTheme="majorEastAsia" w:hAnsiTheme="majorEastAsia"/>
        <w:sz w:val="18"/>
        <w:szCs w:val="18"/>
      </w:rPr>
      <w:t>2</w:t>
    </w:r>
    <w:r>
      <w:rPr>
        <w:rFonts w:asciiTheme="majorEastAsia" w:eastAsiaTheme="majorEastAsia" w:hAnsiTheme="majorEastAsia" w:hint="eastAsia"/>
        <w:sz w:val="18"/>
        <w:szCs w:val="18"/>
      </w:rPr>
      <w:t>1-</w:t>
    </w:r>
    <w:r>
      <w:rPr>
        <w:rFonts w:asciiTheme="majorEastAsia" w:eastAsiaTheme="majorEastAsia" w:hAnsiTheme="majorEastAsia"/>
        <w:sz w:val="18"/>
        <w:szCs w:val="18"/>
      </w:rPr>
      <w:t>09</w:t>
    </w:r>
    <w:r>
      <w:rPr>
        <w:rFonts w:asciiTheme="majorEastAsia" w:eastAsiaTheme="majorEastAsia" w:hAnsiTheme="majorEastAsia" w:hint="eastAsia"/>
        <w:sz w:val="18"/>
        <w:szCs w:val="18"/>
      </w:rPr>
      <w:t>-</w:t>
    </w:r>
    <w:r>
      <w:rPr>
        <w:rFonts w:asciiTheme="majorEastAsia" w:eastAsiaTheme="majorEastAsia" w:hAnsiTheme="majorEastAsia"/>
        <w:sz w:val="18"/>
        <w:szCs w:val="18"/>
      </w:rPr>
      <w:t>26</w:t>
    </w:r>
  </w:p>
  <w:p w:rsidR="00CF3630" w:rsidRDefault="00CF3630" w:rsidP="003622A2">
    <w:pPr>
      <w:spacing w:line="360" w:lineRule="auto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DA0BE"/>
    <w:multiLevelType w:val="singleLevel"/>
    <w:tmpl w:val="8BDDA0B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175DB2B"/>
    <w:multiLevelType w:val="singleLevel"/>
    <w:tmpl w:val="E175DB2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E39470"/>
    <w:multiLevelType w:val="singleLevel"/>
    <w:tmpl w:val="04E39470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52"/>
    <w:rsid w:val="00010C6D"/>
    <w:rsid w:val="00011DCE"/>
    <w:rsid w:val="00016219"/>
    <w:rsid w:val="00020DEB"/>
    <w:rsid w:val="00054FE4"/>
    <w:rsid w:val="000869A3"/>
    <w:rsid w:val="0009208C"/>
    <w:rsid w:val="00092F12"/>
    <w:rsid w:val="00093165"/>
    <w:rsid w:val="00094537"/>
    <w:rsid w:val="00095A18"/>
    <w:rsid w:val="000A76C1"/>
    <w:rsid w:val="000D1737"/>
    <w:rsid w:val="000E023B"/>
    <w:rsid w:val="000E22CC"/>
    <w:rsid w:val="000F2828"/>
    <w:rsid w:val="000F7FA3"/>
    <w:rsid w:val="0010662E"/>
    <w:rsid w:val="00110549"/>
    <w:rsid w:val="00115EDF"/>
    <w:rsid w:val="00151F4D"/>
    <w:rsid w:val="00153A3B"/>
    <w:rsid w:val="00157CE4"/>
    <w:rsid w:val="00161B8E"/>
    <w:rsid w:val="00172E03"/>
    <w:rsid w:val="001A7356"/>
    <w:rsid w:val="001B3B04"/>
    <w:rsid w:val="001E1A61"/>
    <w:rsid w:val="001E4467"/>
    <w:rsid w:val="00211E7B"/>
    <w:rsid w:val="002168D2"/>
    <w:rsid w:val="00233996"/>
    <w:rsid w:val="00234EB3"/>
    <w:rsid w:val="002553EB"/>
    <w:rsid w:val="0026044A"/>
    <w:rsid w:val="002612D7"/>
    <w:rsid w:val="00277D08"/>
    <w:rsid w:val="00283B4A"/>
    <w:rsid w:val="00293E68"/>
    <w:rsid w:val="002A080E"/>
    <w:rsid w:val="002C5FE5"/>
    <w:rsid w:val="002E1C7C"/>
    <w:rsid w:val="00324728"/>
    <w:rsid w:val="003352C3"/>
    <w:rsid w:val="003573B3"/>
    <w:rsid w:val="00357838"/>
    <w:rsid w:val="003622A2"/>
    <w:rsid w:val="003861A6"/>
    <w:rsid w:val="0039079F"/>
    <w:rsid w:val="003A158D"/>
    <w:rsid w:val="003A3BA5"/>
    <w:rsid w:val="003A7E22"/>
    <w:rsid w:val="003B13A4"/>
    <w:rsid w:val="003D3A62"/>
    <w:rsid w:val="003E6C94"/>
    <w:rsid w:val="003E715E"/>
    <w:rsid w:val="00405205"/>
    <w:rsid w:val="0041624D"/>
    <w:rsid w:val="00427504"/>
    <w:rsid w:val="00434FBF"/>
    <w:rsid w:val="00445B0E"/>
    <w:rsid w:val="00464E4B"/>
    <w:rsid w:val="0048715B"/>
    <w:rsid w:val="004971CE"/>
    <w:rsid w:val="004A1D9E"/>
    <w:rsid w:val="004B6D03"/>
    <w:rsid w:val="004C086E"/>
    <w:rsid w:val="004C57DB"/>
    <w:rsid w:val="004E21B5"/>
    <w:rsid w:val="004E6997"/>
    <w:rsid w:val="004F3A36"/>
    <w:rsid w:val="005079B0"/>
    <w:rsid w:val="005118FB"/>
    <w:rsid w:val="0051457E"/>
    <w:rsid w:val="005206BC"/>
    <w:rsid w:val="00534955"/>
    <w:rsid w:val="00537FE6"/>
    <w:rsid w:val="00544E4F"/>
    <w:rsid w:val="00551208"/>
    <w:rsid w:val="00580A0C"/>
    <w:rsid w:val="005860F6"/>
    <w:rsid w:val="005A308D"/>
    <w:rsid w:val="005B1E6C"/>
    <w:rsid w:val="005E3469"/>
    <w:rsid w:val="005E54C5"/>
    <w:rsid w:val="0062653F"/>
    <w:rsid w:val="00637584"/>
    <w:rsid w:val="00647758"/>
    <w:rsid w:val="00655F38"/>
    <w:rsid w:val="00660B12"/>
    <w:rsid w:val="0068289D"/>
    <w:rsid w:val="00683CB5"/>
    <w:rsid w:val="006A77B9"/>
    <w:rsid w:val="006A7DCC"/>
    <w:rsid w:val="006B4DF7"/>
    <w:rsid w:val="006B7BC2"/>
    <w:rsid w:val="006C0BDC"/>
    <w:rsid w:val="006D37F5"/>
    <w:rsid w:val="006D39C8"/>
    <w:rsid w:val="006E1057"/>
    <w:rsid w:val="006E619B"/>
    <w:rsid w:val="006F52BC"/>
    <w:rsid w:val="0070717C"/>
    <w:rsid w:val="007109A6"/>
    <w:rsid w:val="00716347"/>
    <w:rsid w:val="00722772"/>
    <w:rsid w:val="007545D8"/>
    <w:rsid w:val="0077108C"/>
    <w:rsid w:val="007715DF"/>
    <w:rsid w:val="0078628F"/>
    <w:rsid w:val="007A1974"/>
    <w:rsid w:val="007C59B6"/>
    <w:rsid w:val="007C7FE0"/>
    <w:rsid w:val="008035DA"/>
    <w:rsid w:val="00804001"/>
    <w:rsid w:val="00823988"/>
    <w:rsid w:val="00824AE5"/>
    <w:rsid w:val="00866E93"/>
    <w:rsid w:val="00873B26"/>
    <w:rsid w:val="00883481"/>
    <w:rsid w:val="008B5652"/>
    <w:rsid w:val="008B7E36"/>
    <w:rsid w:val="008C7D61"/>
    <w:rsid w:val="008D26F1"/>
    <w:rsid w:val="008D31D1"/>
    <w:rsid w:val="008D61F2"/>
    <w:rsid w:val="008D640B"/>
    <w:rsid w:val="008E00A4"/>
    <w:rsid w:val="008E5D61"/>
    <w:rsid w:val="00917E87"/>
    <w:rsid w:val="009619E3"/>
    <w:rsid w:val="00966D9B"/>
    <w:rsid w:val="009917F6"/>
    <w:rsid w:val="009C6985"/>
    <w:rsid w:val="009C72D6"/>
    <w:rsid w:val="009D0B3A"/>
    <w:rsid w:val="009E2EAF"/>
    <w:rsid w:val="009F1EFF"/>
    <w:rsid w:val="009F2C98"/>
    <w:rsid w:val="009F484A"/>
    <w:rsid w:val="009F4CAD"/>
    <w:rsid w:val="00A00114"/>
    <w:rsid w:val="00A04F5B"/>
    <w:rsid w:val="00A07A5A"/>
    <w:rsid w:val="00A07BF8"/>
    <w:rsid w:val="00A13C00"/>
    <w:rsid w:val="00A41B36"/>
    <w:rsid w:val="00A56EEF"/>
    <w:rsid w:val="00A626BB"/>
    <w:rsid w:val="00A65B1E"/>
    <w:rsid w:val="00A70F15"/>
    <w:rsid w:val="00A84452"/>
    <w:rsid w:val="00A847AA"/>
    <w:rsid w:val="00A86756"/>
    <w:rsid w:val="00A93E18"/>
    <w:rsid w:val="00AD1A6F"/>
    <w:rsid w:val="00AD3B9B"/>
    <w:rsid w:val="00AE04D5"/>
    <w:rsid w:val="00AE42F8"/>
    <w:rsid w:val="00AE60B9"/>
    <w:rsid w:val="00AE7E16"/>
    <w:rsid w:val="00B25163"/>
    <w:rsid w:val="00B32691"/>
    <w:rsid w:val="00B32B1A"/>
    <w:rsid w:val="00B41840"/>
    <w:rsid w:val="00B4275B"/>
    <w:rsid w:val="00B50501"/>
    <w:rsid w:val="00B50E17"/>
    <w:rsid w:val="00B53451"/>
    <w:rsid w:val="00B565EF"/>
    <w:rsid w:val="00B7183A"/>
    <w:rsid w:val="00B97678"/>
    <w:rsid w:val="00BA5413"/>
    <w:rsid w:val="00BB0FCE"/>
    <w:rsid w:val="00BB76E2"/>
    <w:rsid w:val="00BD11CB"/>
    <w:rsid w:val="00BF24C9"/>
    <w:rsid w:val="00BF7EFC"/>
    <w:rsid w:val="00C0259E"/>
    <w:rsid w:val="00C04654"/>
    <w:rsid w:val="00C06858"/>
    <w:rsid w:val="00C34C87"/>
    <w:rsid w:val="00C80159"/>
    <w:rsid w:val="00C87FEA"/>
    <w:rsid w:val="00C9575A"/>
    <w:rsid w:val="00CA12B9"/>
    <w:rsid w:val="00CB30D3"/>
    <w:rsid w:val="00CD6A64"/>
    <w:rsid w:val="00CD6BC5"/>
    <w:rsid w:val="00CE3C16"/>
    <w:rsid w:val="00CF07B9"/>
    <w:rsid w:val="00CF3630"/>
    <w:rsid w:val="00D17B1A"/>
    <w:rsid w:val="00D236A8"/>
    <w:rsid w:val="00D2421B"/>
    <w:rsid w:val="00D24568"/>
    <w:rsid w:val="00D35816"/>
    <w:rsid w:val="00D4223A"/>
    <w:rsid w:val="00D42570"/>
    <w:rsid w:val="00D46BD8"/>
    <w:rsid w:val="00D53557"/>
    <w:rsid w:val="00D61898"/>
    <w:rsid w:val="00D678D9"/>
    <w:rsid w:val="00D70F15"/>
    <w:rsid w:val="00D847CC"/>
    <w:rsid w:val="00D870CB"/>
    <w:rsid w:val="00DB0904"/>
    <w:rsid w:val="00DB1450"/>
    <w:rsid w:val="00DC4C27"/>
    <w:rsid w:val="00DD0A09"/>
    <w:rsid w:val="00DE37AD"/>
    <w:rsid w:val="00DF3D26"/>
    <w:rsid w:val="00DF6603"/>
    <w:rsid w:val="00E0096E"/>
    <w:rsid w:val="00E02FA5"/>
    <w:rsid w:val="00E033CD"/>
    <w:rsid w:val="00E26067"/>
    <w:rsid w:val="00E27644"/>
    <w:rsid w:val="00E3035A"/>
    <w:rsid w:val="00E3744B"/>
    <w:rsid w:val="00E378D3"/>
    <w:rsid w:val="00E40D4E"/>
    <w:rsid w:val="00E43165"/>
    <w:rsid w:val="00E56036"/>
    <w:rsid w:val="00E61269"/>
    <w:rsid w:val="00E64EE4"/>
    <w:rsid w:val="00E726BB"/>
    <w:rsid w:val="00E81D7B"/>
    <w:rsid w:val="00E91523"/>
    <w:rsid w:val="00EA1FD7"/>
    <w:rsid w:val="00EA7BD6"/>
    <w:rsid w:val="00EA7EB5"/>
    <w:rsid w:val="00EB75ED"/>
    <w:rsid w:val="00EC10A7"/>
    <w:rsid w:val="00EC757D"/>
    <w:rsid w:val="00ED0DCF"/>
    <w:rsid w:val="00F00079"/>
    <w:rsid w:val="00F0609A"/>
    <w:rsid w:val="00F22FC3"/>
    <w:rsid w:val="00F41CB4"/>
    <w:rsid w:val="00F538A1"/>
    <w:rsid w:val="00F547A6"/>
    <w:rsid w:val="00F63C4A"/>
    <w:rsid w:val="00F64B38"/>
    <w:rsid w:val="00F757E3"/>
    <w:rsid w:val="00F804BB"/>
    <w:rsid w:val="00F86450"/>
    <w:rsid w:val="00F87DD5"/>
    <w:rsid w:val="00F90C3F"/>
    <w:rsid w:val="00FB2AF4"/>
    <w:rsid w:val="00FD0604"/>
    <w:rsid w:val="00FD42AF"/>
    <w:rsid w:val="00FD52AE"/>
    <w:rsid w:val="00FD7073"/>
    <w:rsid w:val="00FD7FC5"/>
    <w:rsid w:val="00FE2283"/>
    <w:rsid w:val="00FF2915"/>
    <w:rsid w:val="00FF2A6D"/>
    <w:rsid w:val="00FF2CA3"/>
    <w:rsid w:val="00FF5401"/>
    <w:rsid w:val="00FF6D04"/>
    <w:rsid w:val="14455AD7"/>
    <w:rsid w:val="15A73435"/>
    <w:rsid w:val="207F2179"/>
    <w:rsid w:val="34FA645C"/>
    <w:rsid w:val="3B07737C"/>
    <w:rsid w:val="3DC70B91"/>
    <w:rsid w:val="4258203F"/>
    <w:rsid w:val="432964CA"/>
    <w:rsid w:val="4708779B"/>
    <w:rsid w:val="51265815"/>
    <w:rsid w:val="5DC7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16BA9"/>
  <w15:docId w15:val="{DCDF0D04-E50E-48CE-8AD5-50F6E13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eastAsia="zh-CN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US" w:bidi="ar-SA"/>
    </w:rPr>
  </w:style>
  <w:style w:type="paragraph" w:styleId="1">
    <w:name w:val="heading 1"/>
    <w:basedOn w:val="a"/>
    <w:next w:val="a"/>
    <w:uiPriority w:val="1"/>
    <w:qFormat/>
    <w:pPr>
      <w:ind w:left="798"/>
      <w:outlineLvl w:val="0"/>
    </w:pPr>
    <w:rPr>
      <w:rFonts w:ascii="宋体" w:hAnsi="宋体" w:cs="宋体"/>
      <w:b/>
      <w:bCs/>
      <w:sz w:val="24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pPr>
      <w:spacing w:before="186"/>
      <w:ind w:left="798"/>
      <w:outlineLvl w:val="1"/>
    </w:pPr>
    <w:rPr>
      <w:rFonts w:ascii="宋体" w:hAnsi="宋体" w:cs="宋体"/>
      <w:b/>
      <w:bCs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widowControl/>
      <w:spacing w:after="120"/>
      <w:jc w:val="left"/>
    </w:pPr>
    <w:rPr>
      <w:rFonts w:ascii="Arial" w:eastAsia="Times New Roman" w:hAnsi="Arial"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qFormat/>
    <w:rPr>
      <w:sz w:val="21"/>
      <w:szCs w:val="21"/>
    </w:rPr>
  </w:style>
  <w:style w:type="character" w:customStyle="1" w:styleId="ac">
    <w:name w:val="页眉 字符"/>
    <w:link w:val="ab"/>
    <w:uiPriority w:val="99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character" w:customStyle="1" w:styleId="a6">
    <w:name w:val="正文文本 字符"/>
    <w:link w:val="a5"/>
    <w:uiPriority w:val="99"/>
    <w:qFormat/>
    <w:rPr>
      <w:rFonts w:ascii="Arial" w:eastAsia="Times New Roman" w:hAnsi="Arial"/>
      <w:lang w:val="en-GB" w:eastAsia="en-US"/>
    </w:rPr>
  </w:style>
  <w:style w:type="paragraph" w:customStyle="1" w:styleId="TableParagraph">
    <w:name w:val="Table Paragraph"/>
    <w:basedOn w:val="a"/>
    <w:uiPriority w:val="1"/>
    <w:qFormat/>
    <w:pPr>
      <w:spacing w:before="21"/>
    </w:pPr>
    <w:rPr>
      <w:rFonts w:ascii="宋体" w:hAnsi="宋体" w:cs="宋体"/>
      <w:lang w:val="zh-CN" w:bidi="zh-CN"/>
    </w:rPr>
  </w:style>
  <w:style w:type="paragraph" w:styleId="af1">
    <w:name w:val="List Paragraph"/>
    <w:basedOn w:val="a"/>
    <w:uiPriority w:val="1"/>
    <w:qFormat/>
    <w:pPr>
      <w:spacing w:before="186"/>
      <w:ind w:left="1292" w:hanging="495"/>
    </w:pPr>
    <w:rPr>
      <w:rFonts w:ascii="宋体" w:hAnsi="宋体" w:cs="宋体"/>
      <w:lang w:val="zh-CN" w:bidi="zh-CN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120</Words>
  <Characters>690</Characters>
  <Application>Microsoft Office Word</Application>
  <DocSecurity>0</DocSecurity>
  <Lines>5</Lines>
  <Paragraphs>1</Paragraphs>
  <ScaleCrop>false</ScaleCrop>
  <Company>user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缺料单</dc:title>
  <dc:creator>user</dc:creator>
  <cp:lastModifiedBy>Yongsheng DU 杜永盛</cp:lastModifiedBy>
  <cp:revision>8</cp:revision>
  <dcterms:created xsi:type="dcterms:W3CDTF">2020-10-13T00:53:00Z</dcterms:created>
  <dcterms:modified xsi:type="dcterms:W3CDTF">2021-09-26T08:12:00Z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14F846E6D3F0475D8E471AF767753144</vt:lpwstr>
  </property>
</Properties>
</file>